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DA3B" w14:textId="680B7443" w:rsidR="001B27AA" w:rsidRPr="001B27AA" w:rsidRDefault="001B27AA" w:rsidP="001B27AA">
      <w:pPr>
        <w:pStyle w:val="Nadpis1"/>
        <w:pBdr>
          <w:left w:val="single" w:sz="24" w:space="8" w:color="7D0043"/>
        </w:pBdr>
        <w:shd w:val="clear" w:color="auto" w:fill="FAFAFA"/>
        <w:spacing w:after="120"/>
        <w:rPr>
          <w:rFonts w:ascii="inherit" w:hAnsi="inherit" w:cs="Arial"/>
          <w:b/>
          <w:bCs/>
          <w:color w:val="000000"/>
          <w:sz w:val="45"/>
          <w:szCs w:val="45"/>
        </w:rPr>
      </w:pPr>
      <w:r>
        <w:rPr>
          <w:rFonts w:ascii="inherit" w:hAnsi="inherit" w:cs="Arial"/>
          <w:b/>
          <w:bCs/>
          <w:color w:val="000000"/>
          <w:sz w:val="45"/>
          <w:szCs w:val="45"/>
        </w:rPr>
        <w:t>Osobní údaje o uchazeči a jeho zákonném zástupci</w:t>
      </w:r>
    </w:p>
    <w:p w14:paraId="583ABA83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 na přední straně přihlášky vyplňuje následující osobní údaje:</w:t>
      </w:r>
    </w:p>
    <w:p w14:paraId="60120C74" w14:textId="77777777" w:rsidR="001B27AA" w:rsidRDefault="001B27AA" w:rsidP="001B27AA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Jméno</w:t>
      </w:r>
      <w:r>
        <w:rPr>
          <w:rFonts w:ascii="Arial" w:hAnsi="Arial" w:cs="Arial"/>
          <w:color w:val="111111"/>
          <w:sz w:val="21"/>
          <w:szCs w:val="21"/>
        </w:rPr>
        <w:t> (příp. jména) a </w:t>
      </w:r>
      <w:r>
        <w:rPr>
          <w:rStyle w:val="Siln"/>
          <w:rFonts w:ascii="Arial" w:hAnsi="Arial" w:cs="Arial"/>
          <w:color w:val="000000"/>
          <w:sz w:val="21"/>
          <w:szCs w:val="21"/>
        </w:rPr>
        <w:t>příjmení</w:t>
      </w:r>
      <w:r>
        <w:rPr>
          <w:rFonts w:ascii="Arial" w:hAnsi="Arial" w:cs="Arial"/>
          <w:color w:val="111111"/>
          <w:sz w:val="21"/>
          <w:szCs w:val="21"/>
        </w:rPr>
        <w:t>. V případě, že se liší od stávajícího, vyplní uchazeč také rodné příjmení;</w:t>
      </w:r>
    </w:p>
    <w:p w14:paraId="2F74A851" w14:textId="77777777" w:rsidR="001B27AA" w:rsidRDefault="001B27AA" w:rsidP="001B27AA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Státní občanství;</w:t>
      </w:r>
    </w:p>
    <w:p w14:paraId="2969EDAA" w14:textId="77777777" w:rsidR="001B27AA" w:rsidRDefault="001B27AA" w:rsidP="001B27AA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Datum a místo narození</w:t>
      </w:r>
      <w:r>
        <w:rPr>
          <w:rFonts w:ascii="Arial" w:hAnsi="Arial" w:cs="Arial"/>
          <w:color w:val="111111"/>
          <w:sz w:val="21"/>
          <w:szCs w:val="21"/>
        </w:rPr>
        <w:t> a uchazeči, kteří se hlásí do přijímacího řízení, jehož součástí je jednotná přijímací zkouška, vyplní povinně také </w:t>
      </w:r>
      <w:r>
        <w:rPr>
          <w:rStyle w:val="Siln"/>
          <w:rFonts w:ascii="Arial" w:hAnsi="Arial" w:cs="Arial"/>
          <w:color w:val="000000"/>
          <w:sz w:val="21"/>
          <w:szCs w:val="21"/>
        </w:rPr>
        <w:t>rodné číslo</w:t>
      </w:r>
      <w:r>
        <w:rPr>
          <w:rFonts w:ascii="Arial" w:hAnsi="Arial" w:cs="Arial"/>
          <w:color w:val="111111"/>
          <w:sz w:val="21"/>
          <w:szCs w:val="21"/>
        </w:rPr>
        <w:t> (výjimkou jsou pouze cizinci, kterým rodné číslo nebylo přiděleno). U nezletilých uchazečů se na přihlášce vyplní také </w:t>
      </w:r>
      <w:r>
        <w:rPr>
          <w:rStyle w:val="Siln"/>
          <w:rFonts w:ascii="Arial" w:hAnsi="Arial" w:cs="Arial"/>
          <w:color w:val="000000"/>
          <w:sz w:val="21"/>
          <w:szCs w:val="21"/>
        </w:rPr>
        <w:t>jméno, příjmení a datum narození zákonného zástupce;</w:t>
      </w:r>
    </w:p>
    <w:p w14:paraId="5FCF5C1C" w14:textId="77777777" w:rsidR="001B27AA" w:rsidRDefault="001B27AA" w:rsidP="001B27AA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Adresu trvalého pobytu</w:t>
      </w:r>
      <w:r>
        <w:rPr>
          <w:rFonts w:ascii="Arial" w:hAnsi="Arial" w:cs="Arial"/>
          <w:color w:val="111111"/>
          <w:sz w:val="21"/>
          <w:szCs w:val="21"/>
        </w:rPr>
        <w:t>, příp. adresu pro doručování písemností, liší-li se od adresy trvalého pobytu, a uvede na sebe kontakt – </w:t>
      </w:r>
      <w:r>
        <w:rPr>
          <w:rStyle w:val="Siln"/>
          <w:rFonts w:ascii="Arial" w:hAnsi="Arial" w:cs="Arial"/>
          <w:color w:val="000000"/>
          <w:sz w:val="21"/>
          <w:szCs w:val="21"/>
        </w:rPr>
        <w:t>jak telefon, tak e-mailovou adresu</w:t>
      </w:r>
      <w:r>
        <w:rPr>
          <w:rFonts w:ascii="Arial" w:hAnsi="Arial" w:cs="Arial"/>
          <w:color w:val="111111"/>
          <w:sz w:val="21"/>
          <w:szCs w:val="21"/>
        </w:rPr>
        <w:t> – pro případ, že střední škola objeví v přihlášce uchazeče nějakou nesrovnalost, nebo pro zasílání různých doplňujících informací k přijímacímu řízení. Kontakt (telefon i e-mailová adresa) se uvádí také na zákonného zástupce.</w:t>
      </w:r>
    </w:p>
    <w:p w14:paraId="310D97B5" w14:textId="77777777" w:rsidR="001B27AA" w:rsidRDefault="001B27AA" w:rsidP="001B27AA">
      <w:pPr>
        <w:numPr>
          <w:ilvl w:val="0"/>
          <w:numId w:val="1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V případě, že se jedná o </w:t>
      </w:r>
      <w:r>
        <w:rPr>
          <w:rStyle w:val="Siln"/>
          <w:rFonts w:ascii="Arial" w:hAnsi="Arial" w:cs="Arial"/>
          <w:color w:val="000000"/>
          <w:sz w:val="21"/>
          <w:szCs w:val="21"/>
        </w:rPr>
        <w:t>žáka se speciálními vzdělávacími potřebami</w:t>
      </w:r>
      <w:r>
        <w:rPr>
          <w:rFonts w:ascii="Arial" w:hAnsi="Arial" w:cs="Arial"/>
          <w:color w:val="111111"/>
          <w:sz w:val="21"/>
          <w:szCs w:val="21"/>
        </w:rPr>
        <w:t>, uvádí se, zdali uchazeč přikládá k přihlášce </w:t>
      </w:r>
      <w:r>
        <w:rPr>
          <w:rStyle w:val="Siln"/>
          <w:rFonts w:ascii="Arial" w:hAnsi="Arial" w:cs="Arial"/>
          <w:color w:val="000000"/>
          <w:sz w:val="21"/>
          <w:szCs w:val="21"/>
        </w:rPr>
        <w:t>doporučení školského poradenského zařízení</w:t>
      </w:r>
      <w:r>
        <w:rPr>
          <w:rFonts w:ascii="Arial" w:hAnsi="Arial" w:cs="Arial"/>
          <w:color w:val="111111"/>
          <w:sz w:val="21"/>
          <w:szCs w:val="21"/>
        </w:rPr>
        <w:t>.</w:t>
      </w:r>
    </w:p>
    <w:p w14:paraId="7181C60E" w14:textId="77777777" w:rsidR="001B27AA" w:rsidRDefault="001B27AA" w:rsidP="001B27AA"/>
    <w:p w14:paraId="1A97F5FB" w14:textId="77777777" w:rsidR="001B27AA" w:rsidRDefault="001B27AA" w:rsidP="001B27AA"/>
    <w:p w14:paraId="52C4716E" w14:textId="77777777" w:rsidR="001B27AA" w:rsidRDefault="001B27AA" w:rsidP="001B27AA">
      <w:pPr>
        <w:pStyle w:val="Nadpis1"/>
        <w:pBdr>
          <w:left w:val="single" w:sz="24" w:space="8" w:color="7D0043"/>
        </w:pBdr>
        <w:shd w:val="clear" w:color="auto" w:fill="FAFAFA"/>
        <w:spacing w:after="120"/>
        <w:rPr>
          <w:rFonts w:ascii="inherit" w:hAnsi="inherit" w:cs="Arial"/>
          <w:color w:val="000000"/>
          <w:sz w:val="45"/>
          <w:szCs w:val="45"/>
        </w:rPr>
      </w:pPr>
      <w:r>
        <w:rPr>
          <w:rFonts w:ascii="inherit" w:hAnsi="inherit" w:cs="Arial"/>
          <w:b/>
          <w:bCs/>
          <w:color w:val="000000"/>
          <w:sz w:val="45"/>
          <w:szCs w:val="45"/>
        </w:rPr>
        <w:t>Výběr střední školy, oborů vzdělání a termínů konání zkoušek</w:t>
      </w:r>
    </w:p>
    <w:p w14:paraId="55405B3B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Zde uchazeč vyznačí, kam podává přihlášku, tj. uvede </w:t>
      </w: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název a adresu školy, kód a název oboru</w:t>
      </w:r>
      <w:r>
        <w:rPr>
          <w:rFonts w:ascii="Arial" w:hAnsi="Arial" w:cs="Arial"/>
          <w:color w:val="111111"/>
          <w:sz w:val="21"/>
          <w:szCs w:val="21"/>
        </w:rPr>
        <w:t>, příp. zaměření. Pokud to není odlišeno použitým formulářem, uvede také formu vzdělávání. Pořadí, v jakém uvede jednotlivé školy, příp. obory vzdělání, nemá vliv na přijímací řízení ve smyslu jakékoli preference. Určuje pouze to, na které škole bude uchazeč konat jednotnou přijímací zkoušku v 1. a 2. termínu.</w:t>
      </w:r>
    </w:p>
    <w:p w14:paraId="20F8D135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Pokud uchazeč podal přihlášku do oboru vzdělání </w:t>
      </w:r>
      <w:hyperlink r:id="rId5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Gymnázium se sportovní přípravou</w:t>
        </w:r>
      </w:hyperlink>
      <w:r>
        <w:rPr>
          <w:rFonts w:ascii="Arial" w:hAnsi="Arial" w:cs="Arial"/>
          <w:color w:val="111111"/>
          <w:sz w:val="21"/>
          <w:szCs w:val="21"/>
        </w:rPr>
        <w:t> a posléze podává do 1. března přihlášku i do oborů bez talentové zkoušky, vyznačí na těchto přihláškách v poli „Jednotná zkouška“, že bude jednotnou přijímací zkoušku konat na jiné škole.</w:t>
      </w:r>
    </w:p>
    <w:p w14:paraId="047EB1E1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Pole „Termín školní přijímací zkoušky“, příp. „Termín talentové/přijímací zkoušky“ vyplňuje uchazeč pouze v případě, že ředitel SŠ vyhlásil kromě jednotné přijímací zkoušky i další zkoušku (např. obecné studijní předpoklady, zkouška z cizího jazyka atp.). Toto pole </w:t>
      </w: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neslouží pro určení termínu konání jednotné přijímací zkoušky</w:t>
      </w:r>
      <w:r>
        <w:rPr>
          <w:rFonts w:ascii="Arial" w:hAnsi="Arial" w:cs="Arial"/>
          <w:color w:val="111111"/>
          <w:sz w:val="21"/>
          <w:szCs w:val="21"/>
        </w:rPr>
        <w:t>, ten je určen výhradně podle pořadí škol na přihlášce.</w:t>
      </w:r>
    </w:p>
    <w:p w14:paraId="0B7AAD21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 dále uvádí ročník SŠ, pokud se hlásí do jiného než prvního ročníku, a údaj, zda se hlásí do zkráceného studia.</w:t>
      </w:r>
    </w:p>
    <w:p w14:paraId="7C507ACA" w14:textId="77777777" w:rsidR="001B27AA" w:rsidRDefault="001B27AA" w:rsidP="001B27AA"/>
    <w:p w14:paraId="3683933D" w14:textId="77777777" w:rsidR="001B27AA" w:rsidRDefault="001B27AA" w:rsidP="001B27AA">
      <w:pPr>
        <w:pStyle w:val="Nadpis1"/>
        <w:pBdr>
          <w:left w:val="single" w:sz="24" w:space="8" w:color="7D0043"/>
        </w:pBdr>
        <w:shd w:val="clear" w:color="auto" w:fill="FAFAFA"/>
        <w:spacing w:after="120"/>
        <w:rPr>
          <w:rFonts w:ascii="inherit" w:hAnsi="inherit" w:cs="Arial"/>
          <w:color w:val="000000"/>
          <w:sz w:val="45"/>
          <w:szCs w:val="45"/>
        </w:rPr>
      </w:pPr>
      <w:r>
        <w:rPr>
          <w:rFonts w:ascii="inherit" w:hAnsi="inherit" w:cs="Arial"/>
          <w:b/>
          <w:bCs/>
          <w:color w:val="000000"/>
          <w:sz w:val="45"/>
          <w:szCs w:val="45"/>
        </w:rPr>
        <w:lastRenderedPageBreak/>
        <w:t>Potvrzení zdravotní způsobilosti ke vzdělávání</w:t>
      </w:r>
    </w:p>
    <w:p w14:paraId="70B46EBD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Podmínky zdravotní způsobilosti stanovuje pro některé obory vzdělání </w:t>
      </w:r>
      <w:hyperlink r:id="rId6" w:tgtFrame="_blank" w:history="1">
        <w:r>
          <w:rPr>
            <w:rStyle w:val="Hypertextovodkaz"/>
            <w:rFonts w:ascii="Arial" w:eastAsiaTheme="majorEastAsia" w:hAnsi="Arial" w:cs="Arial"/>
            <w:color w:val="B3005F"/>
            <w:sz w:val="21"/>
            <w:szCs w:val="21"/>
          </w:rPr>
          <w:t>nařízení vlády č. 211/2010 Sb</w:t>
        </w:r>
      </w:hyperlink>
      <w:r>
        <w:rPr>
          <w:rFonts w:ascii="Arial" w:hAnsi="Arial" w:cs="Arial"/>
          <w:color w:val="111111"/>
          <w:sz w:val="21"/>
          <w:szCs w:val="21"/>
        </w:rPr>
        <w:t>. </w:t>
      </w:r>
    </w:p>
    <w:p w14:paraId="550931DC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Pokud se uchazeč hlásí na obor (obory) vzdělání, pro který je nějaké omezení tímto nařízením stanoveno, musí na přihlášce doložit </w:t>
      </w: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závěr o zdravotní způsobilosti</w:t>
      </w:r>
      <w:r>
        <w:rPr>
          <w:rFonts w:ascii="Arial" w:hAnsi="Arial" w:cs="Arial"/>
          <w:color w:val="111111"/>
          <w:sz w:val="21"/>
          <w:szCs w:val="21"/>
        </w:rPr>
        <w:t> od lékaře. Zde se vyplní, pro který obor vzdělání se závěr vydává a zda je uchazeč pro příslušný obor způsobilý, způsobilý s omezením nebo nezpůsobilý. V případě potřeby lze k přihlášce doložit jako přílohu také lékařský posudek.</w:t>
      </w:r>
    </w:p>
    <w:p w14:paraId="5CCA9FA9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Pokud se uchazeč hlásí na dva různé obory, pro něž platí rozdílné podmínky zdravotní způsobilosti, na každé přihlášce doloží pouze ten závěr o způsobilosti pro obor, k němuž se přihláška vztahuje.</w:t>
      </w:r>
    </w:p>
    <w:p w14:paraId="645BEEF5" w14:textId="77777777" w:rsidR="001B27AA" w:rsidRDefault="001B27AA" w:rsidP="001B27AA"/>
    <w:p w14:paraId="35EB21AB" w14:textId="77777777" w:rsidR="001B27AA" w:rsidRDefault="001B27AA" w:rsidP="001B27AA">
      <w:pPr>
        <w:pStyle w:val="Nadpis1"/>
        <w:pBdr>
          <w:left w:val="single" w:sz="24" w:space="8" w:color="7D0043"/>
        </w:pBdr>
        <w:shd w:val="clear" w:color="auto" w:fill="FAFAFA"/>
        <w:spacing w:after="120"/>
        <w:rPr>
          <w:rFonts w:ascii="inherit" w:hAnsi="inherit" w:cs="Arial"/>
          <w:color w:val="000000"/>
          <w:sz w:val="45"/>
          <w:szCs w:val="45"/>
        </w:rPr>
      </w:pPr>
      <w:r>
        <w:rPr>
          <w:rFonts w:ascii="inherit" w:hAnsi="inherit" w:cs="Arial"/>
          <w:b/>
          <w:bCs/>
          <w:color w:val="000000"/>
          <w:sz w:val="45"/>
          <w:szCs w:val="45"/>
        </w:rPr>
        <w:t>Opis klasifikace a potvrzení dalších schopností, vědomostí a zájmů uchazeče</w:t>
      </w:r>
    </w:p>
    <w:p w14:paraId="18776FD8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 může výsledky získané v předchozím vzdělávání doložit dvěma způsoby:</w:t>
      </w:r>
    </w:p>
    <w:p w14:paraId="390A7953" w14:textId="77777777" w:rsidR="001B27AA" w:rsidRDefault="001B27AA" w:rsidP="001B27AA">
      <w:pPr>
        <w:numPr>
          <w:ilvl w:val="0"/>
          <w:numId w:val="2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základní škola potvrdí uchazeči </w:t>
      </w:r>
      <w:r>
        <w:rPr>
          <w:rStyle w:val="Siln"/>
          <w:rFonts w:ascii="Arial" w:hAnsi="Arial" w:cs="Arial"/>
          <w:color w:val="000000"/>
          <w:sz w:val="21"/>
          <w:szCs w:val="21"/>
        </w:rPr>
        <w:t>opis klasifikace</w:t>
      </w:r>
      <w:r>
        <w:rPr>
          <w:rFonts w:ascii="Arial" w:hAnsi="Arial" w:cs="Arial"/>
          <w:color w:val="111111"/>
          <w:sz w:val="21"/>
          <w:szCs w:val="21"/>
        </w:rPr>
        <w:t> na zadní straně přihlášky;</w:t>
      </w:r>
    </w:p>
    <w:p w14:paraId="61DD4668" w14:textId="77777777" w:rsidR="001B27AA" w:rsidRDefault="001B27AA" w:rsidP="001B27AA">
      <w:pPr>
        <w:numPr>
          <w:ilvl w:val="0"/>
          <w:numId w:val="2"/>
        </w:numPr>
        <w:shd w:val="clear" w:color="auto" w:fill="F1F3F5"/>
        <w:spacing w:before="100" w:beforeAutospacing="1" w:after="100" w:afterAutospacing="1" w:line="270" w:lineRule="atLeast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 doloží jako přílohu přihlášky doklad nebo ověřenou kopii dokladu o vzdělání (</w:t>
      </w:r>
      <w:r>
        <w:rPr>
          <w:rStyle w:val="Siln"/>
          <w:rFonts w:ascii="Arial" w:hAnsi="Arial" w:cs="Arial"/>
          <w:color w:val="000000"/>
          <w:sz w:val="21"/>
          <w:szCs w:val="21"/>
        </w:rPr>
        <w:t>vysvědčení</w:t>
      </w:r>
      <w:r>
        <w:rPr>
          <w:rFonts w:ascii="Arial" w:hAnsi="Arial" w:cs="Arial"/>
          <w:color w:val="111111"/>
          <w:sz w:val="21"/>
          <w:szCs w:val="21"/>
        </w:rPr>
        <w:t> nebo </w:t>
      </w:r>
      <w:r>
        <w:rPr>
          <w:rStyle w:val="Siln"/>
          <w:rFonts w:ascii="Arial" w:hAnsi="Arial" w:cs="Arial"/>
          <w:color w:val="000000"/>
          <w:sz w:val="21"/>
          <w:szCs w:val="21"/>
        </w:rPr>
        <w:t>výpis z vysvědčení</w:t>
      </w:r>
      <w:r>
        <w:rPr>
          <w:rFonts w:ascii="Arial" w:hAnsi="Arial" w:cs="Arial"/>
          <w:color w:val="111111"/>
          <w:sz w:val="21"/>
          <w:szCs w:val="21"/>
        </w:rPr>
        <w:t>).</w:t>
      </w:r>
    </w:p>
    <w:p w14:paraId="00E2FB25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Uchazeč dokládá </w:t>
      </w: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výsledky za poslední dva ročníky</w:t>
      </w:r>
      <w:r>
        <w:rPr>
          <w:rFonts w:ascii="Arial" w:hAnsi="Arial" w:cs="Arial"/>
          <w:color w:val="111111"/>
          <w:sz w:val="21"/>
          <w:szCs w:val="21"/>
        </w:rPr>
        <w:t>, tj. uchazeči o 4leté studium dokládají výsledky z 8. a 9. třídy, uchazeči o 6leté gymnázium dokládají výsledky z 6. a 7. třídy a uchazeči o 8leté gymnázium ze 4. a 5. třídy. Pokud uchazeč ještě nedokončil 9. ročník základního vzdělávání (resp. 7. a 5. ročník), dokládá pouze vysvědčení z pololetí.</w:t>
      </w:r>
    </w:p>
    <w:p w14:paraId="1EC97B7B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noProof/>
          <w:color w:val="111111"/>
          <w:sz w:val="21"/>
          <w:szCs w:val="21"/>
        </w:rPr>
        <w:drawing>
          <wp:inline distT="0" distB="0" distL="0" distR="0" wp14:anchorId="5EEE4001" wp14:editId="751A4A17">
            <wp:extent cx="476250" cy="476250"/>
            <wp:effectExtent l="0" t="0" r="0" b="0"/>
            <wp:docPr id="1" name="Obrázek 1" descr="vykric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kric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1111"/>
          <w:sz w:val="21"/>
          <w:szCs w:val="21"/>
        </w:rPr>
        <w:t>V souladu s § 1 odst. 7 vyhlášky č. 353/2016 Sb. školy nemohou v přijímacím řízení hodnotit hodnocení na vysvědčení za druhé pololetí školního roku 2019/2020. Školy naopak mohou rozšířit okruh dalších vysvědčení, která budou v rámci přijímacího řízení zohledněna, nad rámec stanovený </w:t>
      </w:r>
      <w:hyperlink r:id="rId8" w:tgtFrame="_self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ve vyhlášce č. 353/2016 Sb</w:t>
        </w:r>
      </w:hyperlink>
      <w:r>
        <w:rPr>
          <w:rFonts w:ascii="Arial" w:hAnsi="Arial" w:cs="Arial"/>
          <w:color w:val="111111"/>
          <w:sz w:val="21"/>
          <w:szCs w:val="21"/>
        </w:rPr>
        <w:t>.</w:t>
      </w:r>
    </w:p>
    <w:p w14:paraId="3292EAA3" w14:textId="365C44E6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Na druhé straně přihlášky uchazeč dále vyplní </w:t>
      </w: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 xml:space="preserve">IZO základní </w:t>
      </w:r>
      <w:proofErr w:type="gramStart"/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školy</w:t>
      </w: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  <w:r w:rsidRPr="001B27AA">
        <w:rPr>
          <w:rFonts w:ascii="Arial" w:hAnsi="Arial" w:cs="Arial"/>
          <w:b/>
          <w:bCs/>
          <w:color w:val="111111"/>
          <w:sz w:val="28"/>
          <w:szCs w:val="28"/>
        </w:rPr>
        <w:t>(</w:t>
      </w:r>
      <w:proofErr w:type="gramEnd"/>
      <w:r w:rsidRPr="001B27AA">
        <w:rPr>
          <w:rFonts w:ascii="Arial" w:hAnsi="Arial" w:cs="Arial"/>
          <w:b/>
          <w:bCs/>
          <w:color w:val="111111"/>
          <w:sz w:val="28"/>
          <w:szCs w:val="28"/>
        </w:rPr>
        <w:t xml:space="preserve">IZO ZŠ Meteorologická </w:t>
      </w:r>
      <w:r w:rsidRPr="001B27AA">
        <w:rPr>
          <w:rFonts w:ascii="Arial" w:hAnsi="Arial" w:cs="Arial"/>
          <w:b/>
          <w:bCs/>
          <w:color w:val="111111"/>
          <w:sz w:val="28"/>
          <w:szCs w:val="28"/>
          <w:u w:val="single"/>
        </w:rPr>
        <w:t>102101132</w:t>
      </w:r>
      <w:r w:rsidRPr="001B27AA">
        <w:rPr>
          <w:rFonts w:ascii="Arial" w:hAnsi="Arial" w:cs="Arial"/>
          <w:b/>
          <w:bCs/>
          <w:color w:val="111111"/>
          <w:sz w:val="28"/>
          <w:szCs w:val="28"/>
        </w:rPr>
        <w:t>)</w:t>
      </w:r>
      <w:r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a uvede, kolik k přihlášce přikládá listů příloh.</w:t>
      </w:r>
    </w:p>
    <w:p w14:paraId="49404319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Potvrzuje-li základní škola uchazeči opis klasifikace, stvrzuje správnost razítkem. Dle výkladu MŠMT je pro tento účel nutné využít klasické hranaté razítko, stvrzení opisu úředním (tj. kulatým) razítkem není možné. </w:t>
      </w:r>
    </w:p>
    <w:p w14:paraId="415AEA0A" w14:textId="77777777" w:rsidR="001B27AA" w:rsidRDefault="001B27AA" w:rsidP="001B27AA">
      <w:pPr>
        <w:pStyle w:val="Nadpis1"/>
        <w:pBdr>
          <w:left w:val="single" w:sz="24" w:space="8" w:color="7D0043"/>
        </w:pBdr>
        <w:shd w:val="clear" w:color="auto" w:fill="FAFAFA"/>
        <w:spacing w:after="120"/>
        <w:rPr>
          <w:rFonts w:ascii="inherit" w:hAnsi="inherit" w:cs="Arial"/>
          <w:color w:val="000000"/>
          <w:sz w:val="45"/>
          <w:szCs w:val="45"/>
        </w:rPr>
      </w:pPr>
      <w:r>
        <w:rPr>
          <w:rFonts w:ascii="inherit" w:hAnsi="inherit" w:cs="Arial"/>
          <w:b/>
          <w:bCs/>
          <w:color w:val="000000"/>
          <w:sz w:val="45"/>
          <w:szCs w:val="45"/>
        </w:rPr>
        <w:lastRenderedPageBreak/>
        <w:t>Přílohy přihlášky</w:t>
      </w:r>
    </w:p>
    <w:p w14:paraId="57D15C98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Neuvede-li uchazeč ve čtvrté části přihlášky opis klasifikace potvrzený základní školou, pak je součástí přihlášky </w:t>
      </w: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vysvědčení</w:t>
      </w:r>
      <w:r>
        <w:rPr>
          <w:rFonts w:ascii="Arial" w:hAnsi="Arial" w:cs="Arial"/>
          <w:color w:val="111111"/>
          <w:sz w:val="21"/>
          <w:szCs w:val="21"/>
        </w:rPr>
        <w:t> (případně jejich úředně ověřené kopie nebo výpis z vysvědčení vydaný v pololetí posledního ročníku ZŠ) z posledních dvou ročníků základní školy, které uchazeč splnil nebo splní.</w:t>
      </w:r>
    </w:p>
    <w:p w14:paraId="15DA20B1" w14:textId="77777777" w:rsidR="001B27AA" w:rsidRDefault="001B27AA" w:rsidP="001B27AA">
      <w:pPr>
        <w:pStyle w:val="Normlnweb"/>
        <w:shd w:val="clear" w:color="auto" w:fill="FAFAFA"/>
        <w:spacing w:before="0" w:before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U některých oborů vzdělání je součástí také </w:t>
      </w: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lékařský posudek o zdravotní způsobilosti</w:t>
      </w:r>
      <w:r>
        <w:rPr>
          <w:rFonts w:ascii="Arial" w:hAnsi="Arial" w:cs="Arial"/>
          <w:color w:val="111111"/>
          <w:sz w:val="21"/>
          <w:szCs w:val="21"/>
        </w:rPr>
        <w:t> (viz třetí část přihlášky). </w:t>
      </w:r>
      <w:hyperlink r:id="rId9" w:history="1">
        <w:r>
          <w:rPr>
            <w:rStyle w:val="Hypertextovodkaz"/>
            <w:rFonts w:ascii="Arial" w:hAnsi="Arial" w:cs="Arial"/>
            <w:color w:val="B3005F"/>
            <w:sz w:val="21"/>
            <w:szCs w:val="21"/>
          </w:rPr>
          <w:t>Uchazeči se SVP</w:t>
        </w:r>
      </w:hyperlink>
      <w:r>
        <w:rPr>
          <w:rFonts w:ascii="Arial" w:hAnsi="Arial" w:cs="Arial"/>
          <w:color w:val="111111"/>
          <w:sz w:val="21"/>
          <w:szCs w:val="21"/>
        </w:rPr>
        <w:t> dokládají k přihlášce doporučení ŠPZ. K přihlášce je také možné přiložit doklady potvrzující splnění dalších podmínek přijímacího řízení (např. diplomy ze žákovských olympiád atp.).</w:t>
      </w:r>
    </w:p>
    <w:p w14:paraId="6C24E83C" w14:textId="77777777" w:rsidR="001B27AA" w:rsidRDefault="001B27AA" w:rsidP="001B27AA"/>
    <w:p w14:paraId="40F720C5" w14:textId="77777777" w:rsidR="00AE23F1" w:rsidRDefault="00AE23F1"/>
    <w:sectPr w:rsidR="00AE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2744B"/>
    <w:multiLevelType w:val="multilevel"/>
    <w:tmpl w:val="4DFA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BF2B48"/>
    <w:multiLevelType w:val="multilevel"/>
    <w:tmpl w:val="63BE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AA"/>
    <w:rsid w:val="001B27AA"/>
    <w:rsid w:val="00A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9017"/>
  <w15:chartTrackingRefBased/>
  <w15:docId w15:val="{3FE8FBF1-D0B8-4CC9-ABF2-20588D91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27AA"/>
  </w:style>
  <w:style w:type="paragraph" w:styleId="Nadpis1">
    <w:name w:val="heading 1"/>
    <w:basedOn w:val="Normln"/>
    <w:next w:val="Normln"/>
    <w:link w:val="Nadpis1Char"/>
    <w:uiPriority w:val="9"/>
    <w:qFormat/>
    <w:rsid w:val="001B2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2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1B27A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B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2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imacky.cermat.cz/menu/pravni-nor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stredni-vzdelavani/nove-narizeni-vlady-o-soustave-oboru-vzdelani-v-zakladn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ijimacky.cermat.cz/menu/jednotna-prijimaci-zkouska/prihlasky-na-ss/specifika-prijimaciho-rizeni-do-oboru-gymnazium-se-sportovni-pripravo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jimacky.cermat.cz/menu/upravy-podminek-prijimaciho-rize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806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Janhubová</dc:creator>
  <cp:keywords/>
  <dc:description/>
  <cp:lastModifiedBy>Bohumila Janhubová</cp:lastModifiedBy>
  <cp:revision>1</cp:revision>
  <dcterms:created xsi:type="dcterms:W3CDTF">2021-01-27T11:40:00Z</dcterms:created>
  <dcterms:modified xsi:type="dcterms:W3CDTF">2021-01-27T11:45:00Z</dcterms:modified>
</cp:coreProperties>
</file>